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55313B" w:rsidRDefault="008F77E9" w:rsidP="002D193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  <w:u w:val="none"/>
        </w:rPr>
      </w:pPr>
      <w:r w:rsidRPr="0055313B">
        <w:rPr>
          <w:rFonts w:asciiTheme="majorEastAsia" w:eastAsiaTheme="majorEastAsia" w:hAnsiTheme="majorEastAsia" w:hint="eastAsia"/>
          <w:b/>
          <w:sz w:val="32"/>
          <w:szCs w:val="32"/>
          <w:u w:val="none"/>
        </w:rPr>
        <w:t>南京大学鼓楼校区南楼外立面门窗工程</w:t>
      </w:r>
      <w:r w:rsidR="00454BC5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询价</w:t>
      </w:r>
      <w:r w:rsidR="00275417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公告</w:t>
      </w:r>
    </w:p>
    <w:p w:rsidR="008E7203" w:rsidRPr="0055313B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对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55313B" w:rsidRDefault="006E2B86" w:rsidP="008F77E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一、公告信息</w:t>
      </w:r>
    </w:p>
    <w:tbl>
      <w:tblPr>
        <w:tblStyle w:val="ae"/>
        <w:tblW w:w="0" w:type="auto"/>
        <w:tblLook w:val="04A0"/>
      </w:tblPr>
      <w:tblGrid>
        <w:gridCol w:w="1555"/>
        <w:gridCol w:w="7279"/>
      </w:tblGrid>
      <w:tr w:rsidR="006E2B86" w:rsidRPr="0055313B" w:rsidTr="00375003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279" w:type="dxa"/>
            <w:vAlign w:val="center"/>
          </w:tcPr>
          <w:p w:rsidR="006E2B86" w:rsidRPr="0055313B" w:rsidRDefault="008F77E9" w:rsidP="00B72BBC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南京大学鼓楼校区南楼外立面门窗工程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203799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279" w:type="dxa"/>
          </w:tcPr>
          <w:p w:rsidR="006E2B86" w:rsidRPr="0055313B" w:rsidRDefault="006E2B86" w:rsidP="002D1930">
            <w:pPr>
              <w:widowControl/>
              <w:shd w:val="clear" w:color="auto" w:fill="FFFFFF"/>
              <w:spacing w:line="288" w:lineRule="auto"/>
              <w:rPr>
                <w:rFonts w:asciiTheme="majorEastAsia" w:eastAsiaTheme="majorEastAsia" w:hAnsiTheme="majorEastAsia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279" w:type="dxa"/>
          </w:tcPr>
          <w:p w:rsidR="006E2B86" w:rsidRPr="0055313B" w:rsidRDefault="006E2B86" w:rsidP="008F77E9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日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 09</w:t>
            </w:r>
            <w:r w:rsidR="002D193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: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</w:t>
            </w:r>
            <w:r w:rsidR="00815F94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279" w:type="dxa"/>
          </w:tcPr>
          <w:p w:rsidR="006E2B86" w:rsidRPr="0055313B" w:rsidRDefault="006E2B86" w:rsidP="00815F94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815F94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鼓楼校区综合楼504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279" w:type="dxa"/>
          </w:tcPr>
          <w:p w:rsidR="006E2B86" w:rsidRPr="0055313B" w:rsidRDefault="00712840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直接携带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响应文件（必须密封文件,密封口盖骑缝章）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资格审查资料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前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半小时至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开标地点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等候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开标。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279" w:type="dxa"/>
          </w:tcPr>
          <w:p w:rsidR="006E2B86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RPr="0055313B" w:rsidTr="00BB461F">
        <w:tc>
          <w:tcPr>
            <w:tcW w:w="1555" w:type="dxa"/>
          </w:tcPr>
          <w:p w:rsidR="006E2B86" w:rsidRPr="0055313B" w:rsidRDefault="006E2B86" w:rsidP="0043548A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电子邮箱</w:t>
            </w:r>
          </w:p>
        </w:tc>
        <w:tc>
          <w:tcPr>
            <w:tcW w:w="7279" w:type="dxa"/>
          </w:tcPr>
          <w:p w:rsidR="006E2B86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275568278@qq.com</w:t>
            </w:r>
          </w:p>
        </w:tc>
      </w:tr>
    </w:tbl>
    <w:p w:rsidR="00873D8F" w:rsidRPr="0055313B" w:rsidRDefault="006E2B86" w:rsidP="008F77E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tbl>
      <w:tblPr>
        <w:tblStyle w:val="ae"/>
        <w:tblW w:w="0" w:type="auto"/>
        <w:tblLook w:val="04A0"/>
      </w:tblPr>
      <w:tblGrid>
        <w:gridCol w:w="1271"/>
        <w:gridCol w:w="7563"/>
      </w:tblGrid>
      <w:tr w:rsidR="00203799" w:rsidRPr="0055313B" w:rsidTr="00203799">
        <w:tc>
          <w:tcPr>
            <w:tcW w:w="1271" w:type="dxa"/>
          </w:tcPr>
          <w:p w:rsidR="00203799" w:rsidRPr="0055313B" w:rsidRDefault="008D75C1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563" w:type="dxa"/>
          </w:tcPr>
          <w:p w:rsidR="00203799" w:rsidRPr="0055313B" w:rsidRDefault="005E32D6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国家</w:t>
            </w:r>
            <w:r w:rsidR="00171770"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现行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相关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</w:t>
            </w:r>
            <w:r w:rsidR="00171770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施工质量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验收标准</w:t>
            </w:r>
            <w:r w:rsidR="008F77E9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（详见工程总说明）</w:t>
            </w:r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D0651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基本要求</w:t>
            </w:r>
          </w:p>
        </w:tc>
        <w:tc>
          <w:tcPr>
            <w:tcW w:w="7563" w:type="dxa"/>
          </w:tcPr>
          <w:p w:rsidR="008F77E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hint="eastAsia"/>
                <w:sz w:val="24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本工程主要内容为</w:t>
            </w:r>
            <w:r w:rsidRPr="0055313B">
              <w:rPr>
                <w:rFonts w:asciiTheme="majorEastAsia" w:eastAsiaTheme="majorEastAsia" w:hAnsiTheme="majorEastAsia" w:hint="eastAsia"/>
                <w:sz w:val="24"/>
                <w:u w:val="none"/>
              </w:rPr>
              <w:t>外立面门窗制作安装</w:t>
            </w:r>
          </w:p>
          <w:p w:rsidR="0020379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工程量清单编制依据：建设单位提供的图纸</w:t>
            </w:r>
          </w:p>
        </w:tc>
      </w:tr>
      <w:tr w:rsidR="008F77E9" w:rsidRPr="0055313B" w:rsidTr="00203799">
        <w:tc>
          <w:tcPr>
            <w:tcW w:w="1271" w:type="dxa"/>
          </w:tcPr>
          <w:p w:rsidR="008F77E9" w:rsidRPr="0055313B" w:rsidRDefault="008F77E9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预算金额</w:t>
            </w:r>
          </w:p>
        </w:tc>
        <w:tc>
          <w:tcPr>
            <w:tcW w:w="7563" w:type="dxa"/>
          </w:tcPr>
          <w:p w:rsidR="008F77E9" w:rsidRPr="0055313B" w:rsidRDefault="008F77E9" w:rsidP="00815F94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</w:pPr>
            <w:r w:rsidRPr="0055313B">
              <w:rPr>
                <w:rFonts w:asciiTheme="majorEastAsia" w:eastAsiaTheme="majorEastAsia" w:hAnsiTheme="majorEastAsia" w:cs="宋体" w:hint="eastAsia"/>
                <w:sz w:val="24"/>
                <w:u w:val="none"/>
              </w:rPr>
              <w:t>13.5万元</w:t>
            </w:r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0E2339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工期要求</w:t>
            </w:r>
          </w:p>
        </w:tc>
        <w:tc>
          <w:tcPr>
            <w:tcW w:w="7563" w:type="dxa"/>
          </w:tcPr>
          <w:p w:rsidR="00203799" w:rsidRPr="0055313B" w:rsidRDefault="008F77E9" w:rsidP="0001179F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60</w:t>
            </w:r>
            <w:r w:rsidR="00D06517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天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，满足甲方及总</w:t>
            </w:r>
            <w:proofErr w:type="gramStart"/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包要求</w:t>
            </w:r>
            <w:proofErr w:type="gramEnd"/>
          </w:p>
        </w:tc>
      </w:tr>
      <w:tr w:rsidR="00203799" w:rsidRPr="0055313B" w:rsidTr="00203799">
        <w:tc>
          <w:tcPr>
            <w:tcW w:w="1271" w:type="dxa"/>
          </w:tcPr>
          <w:p w:rsidR="00203799" w:rsidRPr="0055313B" w:rsidRDefault="00203799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563" w:type="dxa"/>
          </w:tcPr>
          <w:p w:rsidR="00203799" w:rsidRPr="0055313B" w:rsidRDefault="008F77E9" w:rsidP="0055313B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无预付款，工程安装结束后支付30%的合同款，经工程部监理及有关部门验收合格</w:t>
            </w:r>
            <w:r w:rsidR="0055313B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并经</w:t>
            </w: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审计结束</w:t>
            </w:r>
            <w:r w:rsidR="0055313B"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后，承包人向发包人缴纳审定金额3%的质保金，发包人付至审定价的100%，质保期满后退还3%质保金。</w:t>
            </w:r>
          </w:p>
        </w:tc>
      </w:tr>
      <w:tr w:rsidR="003F0DE7" w:rsidRPr="0055313B" w:rsidTr="00203799">
        <w:tc>
          <w:tcPr>
            <w:tcW w:w="1271" w:type="dxa"/>
          </w:tcPr>
          <w:p w:rsidR="003F0DE7" w:rsidRPr="0055313B" w:rsidRDefault="003F0DE7" w:rsidP="0043548A">
            <w:pPr>
              <w:widowControl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 w:rsidRPr="0055313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563" w:type="dxa"/>
          </w:tcPr>
          <w:p w:rsidR="003F0DE7" w:rsidRPr="0055313B" w:rsidRDefault="0055313B" w:rsidP="009F6EDA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5531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详见清单编制说明</w:t>
            </w:r>
          </w:p>
        </w:tc>
      </w:tr>
    </w:tbl>
    <w:p w:rsidR="00FE1F22" w:rsidRPr="0055313B" w:rsidRDefault="00FE1F22" w:rsidP="008F77E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5313B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FE1F22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供应商具有独立法人资格，具有良好的商业信誉、健全的财务会计制度、履行合同所必需的设备和专业技术能力，并有依法缴纳税收和社会保障资金的良好记录。</w:t>
      </w:r>
      <w:r w:rsidR="00873D8F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FE1F22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因为招投标活动中有违法违规和不良行为，被有关招投标行政监督部门公示且公示期限未满的；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企业有因骗取中标或者严重违约以及发生重大工程质量、安全生产事故等问题，被有关部门暂停投标资格并在暂停期内的。</w:t>
      </w:r>
    </w:p>
    <w:p w:rsidR="00FE1F22" w:rsidRPr="0055313B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742A37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B53D3F" w:rsidRPr="0055313B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3269A8" w:rsidRPr="0055313B" w:rsidRDefault="003269A8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的供应</w:t>
      </w:r>
      <w:proofErr w:type="gramStart"/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商取消</w:t>
      </w:r>
      <w:proofErr w:type="gramEnd"/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其中标资格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55313B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0" w:name="_Hlk499005810"/>
      <w:bookmarkEnd w:id="0"/>
    </w:p>
    <w:p w:rsidR="00B53D3F" w:rsidRPr="0055313B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</w:t>
      </w:r>
      <w:r w:rsidR="00BE637C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复印件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加盖公章</w:t>
      </w:r>
      <w:r w:rsidR="007E0183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B53D3F" w:rsidRPr="0055313B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 w:rsidR="003269A8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 w:rsidR="0081701E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 w:rsidR="0081701E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 w:rsidR="0081701E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="004A2AA8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 w:rsidR="007E0183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="00EB1A12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Pr="0055313B" w:rsidRDefault="003269A8" w:rsidP="008F77E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 w:rsidRPr="0055313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55313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其他事项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2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、本项目采购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结果公示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见基建处网站主页。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3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7E0183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711D4A" w:rsidRPr="0055313B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</w:rPr>
        <w:t>5</w:t>
      </w: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8337DB" w:rsidRPr="0055313B" w:rsidRDefault="008337DB" w:rsidP="00BA564A">
      <w:pPr>
        <w:widowControl/>
        <w:shd w:val="clear" w:color="auto" w:fill="FFFFFF"/>
        <w:spacing w:line="42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</w:p>
    <w:p w:rsidR="00D444A8" w:rsidRPr="0055313B" w:rsidRDefault="00D444A8" w:rsidP="00BA564A">
      <w:pPr>
        <w:widowControl/>
        <w:shd w:val="clear" w:color="auto" w:fill="FFFFFF"/>
        <w:spacing w:line="42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55313B" w:rsidRDefault="00275417" w:rsidP="00275417">
      <w:pPr>
        <w:widowControl/>
        <w:shd w:val="clear" w:color="auto" w:fill="FFFFFF"/>
        <w:spacing w:line="420" w:lineRule="atLeast"/>
        <w:ind w:firstLine="480"/>
        <w:jc w:val="righ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南京大学基本</w:t>
      </w: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275417" w:rsidRPr="0055313B" w:rsidRDefault="000E5A65" w:rsidP="00804AFD">
      <w:pPr>
        <w:widowControl/>
        <w:shd w:val="clear" w:color="auto" w:fill="FFFFFF"/>
        <w:spacing w:line="420" w:lineRule="atLeast"/>
        <w:ind w:right="120" w:firstLine="420"/>
        <w:jc w:val="right"/>
        <w:rPr>
          <w:rFonts w:asciiTheme="majorEastAsia" w:eastAsiaTheme="majorEastAsia" w:hAnsiTheme="majorEastAsia" w:cs="宋体"/>
          <w:color w:val="000000"/>
          <w:kern w:val="0"/>
          <w:sz w:val="21"/>
          <w:szCs w:val="21"/>
          <w:u w:val="none"/>
        </w:rPr>
      </w:pPr>
      <w:r w:rsidRPr="0055313B">
        <w:rPr>
          <w:rFonts w:asciiTheme="majorEastAsia" w:eastAsiaTheme="majorEastAsia" w:hAnsiTheme="majorEastAsia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12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28</w:t>
      </w:r>
      <w:r w:rsidR="00275417" w:rsidRPr="0055313B">
        <w:rPr>
          <w:rFonts w:asciiTheme="majorEastAsia" w:eastAsiaTheme="majorEastAsia" w:hAnsiTheme="majorEastAsia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</w:p>
    <w:p w:rsidR="00875218" w:rsidRPr="0055313B" w:rsidRDefault="00875218">
      <w:pPr>
        <w:rPr>
          <w:rFonts w:asciiTheme="majorEastAsia" w:eastAsiaTheme="majorEastAsia" w:hAnsiTheme="majorEastAsia"/>
        </w:rPr>
      </w:pPr>
    </w:p>
    <w:sectPr w:rsidR="00875218" w:rsidRPr="0055313B" w:rsidSect="008C003F">
      <w:pgSz w:w="11906" w:h="16838" w:code="9"/>
      <w:pgMar w:top="567" w:right="1474" w:bottom="567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77" w:rsidRDefault="00C22B77" w:rsidP="00275417">
      <w:r>
        <w:separator/>
      </w:r>
    </w:p>
  </w:endnote>
  <w:endnote w:type="continuationSeparator" w:id="0">
    <w:p w:rsidR="00C22B77" w:rsidRDefault="00C22B77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77" w:rsidRDefault="00C22B77" w:rsidP="00275417">
      <w:r>
        <w:separator/>
      </w:r>
    </w:p>
  </w:footnote>
  <w:footnote w:type="continuationSeparator" w:id="0">
    <w:p w:rsidR="00C22B77" w:rsidRDefault="00C22B77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8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114AA"/>
    <w:rsid w:val="0001179F"/>
    <w:rsid w:val="00046FDC"/>
    <w:rsid w:val="00074B2B"/>
    <w:rsid w:val="000E2339"/>
    <w:rsid w:val="000E5A65"/>
    <w:rsid w:val="000E6710"/>
    <w:rsid w:val="00132C53"/>
    <w:rsid w:val="00152AE4"/>
    <w:rsid w:val="00157364"/>
    <w:rsid w:val="001633B3"/>
    <w:rsid w:val="00171770"/>
    <w:rsid w:val="00192890"/>
    <w:rsid w:val="001E47DE"/>
    <w:rsid w:val="00203799"/>
    <w:rsid w:val="002140BB"/>
    <w:rsid w:val="00234B20"/>
    <w:rsid w:val="00275417"/>
    <w:rsid w:val="00290276"/>
    <w:rsid w:val="002A70CC"/>
    <w:rsid w:val="002D0680"/>
    <w:rsid w:val="002D1930"/>
    <w:rsid w:val="002E506D"/>
    <w:rsid w:val="00307C2C"/>
    <w:rsid w:val="0031312E"/>
    <w:rsid w:val="00314904"/>
    <w:rsid w:val="003269A8"/>
    <w:rsid w:val="00357128"/>
    <w:rsid w:val="00363653"/>
    <w:rsid w:val="00375003"/>
    <w:rsid w:val="00376458"/>
    <w:rsid w:val="003E2BF2"/>
    <w:rsid w:val="003F0DE7"/>
    <w:rsid w:val="0043548A"/>
    <w:rsid w:val="004406F5"/>
    <w:rsid w:val="00454BC5"/>
    <w:rsid w:val="004A2AA8"/>
    <w:rsid w:val="004A51B2"/>
    <w:rsid w:val="004C4434"/>
    <w:rsid w:val="004E0B0C"/>
    <w:rsid w:val="00546906"/>
    <w:rsid w:val="0055313B"/>
    <w:rsid w:val="005544B3"/>
    <w:rsid w:val="005731D2"/>
    <w:rsid w:val="005761DE"/>
    <w:rsid w:val="00597215"/>
    <w:rsid w:val="005B4CD5"/>
    <w:rsid w:val="005D3E44"/>
    <w:rsid w:val="005E22AE"/>
    <w:rsid w:val="005E32D6"/>
    <w:rsid w:val="005E39EE"/>
    <w:rsid w:val="005E4594"/>
    <w:rsid w:val="005F3F15"/>
    <w:rsid w:val="00610FAD"/>
    <w:rsid w:val="00640E7E"/>
    <w:rsid w:val="006455D8"/>
    <w:rsid w:val="00647E81"/>
    <w:rsid w:val="00647F30"/>
    <w:rsid w:val="006764FF"/>
    <w:rsid w:val="00677DB8"/>
    <w:rsid w:val="006A38CF"/>
    <w:rsid w:val="006E21BD"/>
    <w:rsid w:val="006E2B86"/>
    <w:rsid w:val="006E318D"/>
    <w:rsid w:val="00706B4E"/>
    <w:rsid w:val="00711D4A"/>
    <w:rsid w:val="00712840"/>
    <w:rsid w:val="0071590C"/>
    <w:rsid w:val="00741AB7"/>
    <w:rsid w:val="00742A37"/>
    <w:rsid w:val="00753672"/>
    <w:rsid w:val="007625AF"/>
    <w:rsid w:val="00782B9E"/>
    <w:rsid w:val="007944C3"/>
    <w:rsid w:val="007B262D"/>
    <w:rsid w:val="007E0183"/>
    <w:rsid w:val="007E387E"/>
    <w:rsid w:val="008021E4"/>
    <w:rsid w:val="00804AFD"/>
    <w:rsid w:val="00815F94"/>
    <w:rsid w:val="0081701E"/>
    <w:rsid w:val="008337DB"/>
    <w:rsid w:val="008453CE"/>
    <w:rsid w:val="00846564"/>
    <w:rsid w:val="00873B75"/>
    <w:rsid w:val="00873D8F"/>
    <w:rsid w:val="00875218"/>
    <w:rsid w:val="008A2189"/>
    <w:rsid w:val="008B63C2"/>
    <w:rsid w:val="008C003F"/>
    <w:rsid w:val="008D75C1"/>
    <w:rsid w:val="008E4ABF"/>
    <w:rsid w:val="008E7203"/>
    <w:rsid w:val="008F09A2"/>
    <w:rsid w:val="008F2816"/>
    <w:rsid w:val="008F77E9"/>
    <w:rsid w:val="00905FE6"/>
    <w:rsid w:val="009202CB"/>
    <w:rsid w:val="00995EEF"/>
    <w:rsid w:val="009C78ED"/>
    <w:rsid w:val="009D6B5A"/>
    <w:rsid w:val="009F6EDA"/>
    <w:rsid w:val="00A20311"/>
    <w:rsid w:val="00A30B4A"/>
    <w:rsid w:val="00A41238"/>
    <w:rsid w:val="00A76E3F"/>
    <w:rsid w:val="00A91164"/>
    <w:rsid w:val="00AC0DEF"/>
    <w:rsid w:val="00AD0B58"/>
    <w:rsid w:val="00B21336"/>
    <w:rsid w:val="00B53D3F"/>
    <w:rsid w:val="00B72BBC"/>
    <w:rsid w:val="00B76914"/>
    <w:rsid w:val="00B805EE"/>
    <w:rsid w:val="00BA564A"/>
    <w:rsid w:val="00BB461F"/>
    <w:rsid w:val="00BC5725"/>
    <w:rsid w:val="00BE637C"/>
    <w:rsid w:val="00C076EE"/>
    <w:rsid w:val="00C14370"/>
    <w:rsid w:val="00C159D3"/>
    <w:rsid w:val="00C22B77"/>
    <w:rsid w:val="00C47513"/>
    <w:rsid w:val="00C77897"/>
    <w:rsid w:val="00C816F0"/>
    <w:rsid w:val="00D06517"/>
    <w:rsid w:val="00D1307B"/>
    <w:rsid w:val="00D444A8"/>
    <w:rsid w:val="00D57C9D"/>
    <w:rsid w:val="00DA06A9"/>
    <w:rsid w:val="00DC7A95"/>
    <w:rsid w:val="00DE4FBD"/>
    <w:rsid w:val="00E0420D"/>
    <w:rsid w:val="00E062AB"/>
    <w:rsid w:val="00E14CC2"/>
    <w:rsid w:val="00E325D9"/>
    <w:rsid w:val="00E44EC3"/>
    <w:rsid w:val="00EA79B3"/>
    <w:rsid w:val="00EB1A12"/>
    <w:rsid w:val="00EB6431"/>
    <w:rsid w:val="00EC2955"/>
    <w:rsid w:val="00ED55FF"/>
    <w:rsid w:val="00EE0537"/>
    <w:rsid w:val="00EE145A"/>
    <w:rsid w:val="00F40D8E"/>
    <w:rsid w:val="00F43228"/>
    <w:rsid w:val="00F51B61"/>
    <w:rsid w:val="00F65712"/>
    <w:rsid w:val="00F67322"/>
    <w:rsid w:val="00F97399"/>
    <w:rsid w:val="00FB2AFF"/>
    <w:rsid w:val="00FB46C2"/>
    <w:rsid w:val="00FD274B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2EB1-C8AE-4913-AC20-01C9BDE2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1091</Characters>
  <Application>Microsoft Office Word</Application>
  <DocSecurity>0</DocSecurity>
  <Lines>9</Lines>
  <Paragraphs>2</Paragraphs>
  <ScaleCrop>false</ScaleCrop>
  <Company>CHINA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4</cp:revision>
  <dcterms:created xsi:type="dcterms:W3CDTF">2018-07-17T03:50:00Z</dcterms:created>
  <dcterms:modified xsi:type="dcterms:W3CDTF">2018-12-28T06:41:00Z</dcterms:modified>
</cp:coreProperties>
</file>